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21A9" w14:textId="36E464B4" w:rsidR="00B32FC6" w:rsidRPr="00233D4E" w:rsidRDefault="00233D4E" w:rsidP="00233D4E">
      <w:pPr>
        <w:bidi w:val="0"/>
        <w:jc w:val="both"/>
        <w:rPr>
          <w:rFonts w:asciiTheme="majorBidi" w:hAnsiTheme="majorBidi" w:cstheme="majorBidi"/>
          <w:sz w:val="24"/>
          <w:szCs w:val="24"/>
        </w:rPr>
      </w:pPr>
      <w:r w:rsidRPr="00233D4E">
        <w:rPr>
          <w:rFonts w:asciiTheme="majorBidi" w:hAnsiTheme="majorBidi" w:cstheme="majorBidi"/>
          <w:sz w:val="24"/>
          <w:szCs w:val="24"/>
        </w:rPr>
        <w:t>A randomized controlled trial compared Progesterone protocol and gonadotropin-releasing hormone antagonist protocol in preventing premature LH surge and assisting reproductive technology outcomes in infertile women</w:t>
      </w:r>
    </w:p>
    <w:p w14:paraId="72F80E80" w14:textId="31513EC9" w:rsidR="00233D4E" w:rsidRDefault="00233D4E" w:rsidP="00233D4E">
      <w:pPr>
        <w:bidi w:val="0"/>
        <w:jc w:val="both"/>
      </w:pPr>
    </w:p>
    <w:p w14:paraId="49F8089D" w14:textId="77777777" w:rsidR="00233D4E" w:rsidRPr="00C240EE" w:rsidRDefault="00233D4E" w:rsidP="00233D4E">
      <w:pPr>
        <w:pStyle w:val="Default"/>
        <w:spacing w:line="360" w:lineRule="auto"/>
        <w:jc w:val="both"/>
        <w:rPr>
          <w:rFonts w:asciiTheme="majorBidi" w:hAnsiTheme="majorBidi" w:cstheme="majorBidi"/>
        </w:rPr>
      </w:pPr>
    </w:p>
    <w:p w14:paraId="4B6F4E45" w14:textId="77777777" w:rsidR="00233D4E" w:rsidRPr="00C240EE" w:rsidRDefault="00233D4E" w:rsidP="00233D4E">
      <w:pPr>
        <w:bidi w:val="0"/>
        <w:spacing w:line="360" w:lineRule="auto"/>
        <w:jc w:val="both"/>
        <w:rPr>
          <w:rFonts w:asciiTheme="majorBidi" w:hAnsiTheme="majorBidi" w:cstheme="majorBidi"/>
          <w:b/>
          <w:bCs/>
          <w:sz w:val="24"/>
          <w:szCs w:val="24"/>
          <w:vertAlign w:val="superscript"/>
        </w:rPr>
      </w:pPr>
      <w:proofErr w:type="spellStart"/>
      <w:r w:rsidRPr="00C240EE">
        <w:rPr>
          <w:rFonts w:asciiTheme="majorBidi" w:hAnsiTheme="majorBidi" w:cstheme="majorBidi"/>
          <w:b/>
          <w:bCs/>
          <w:sz w:val="24"/>
          <w:szCs w:val="24"/>
        </w:rPr>
        <w:t>Masoome</w:t>
      </w:r>
      <w:proofErr w:type="spellEnd"/>
      <w:r w:rsidRPr="00C240EE">
        <w:rPr>
          <w:rFonts w:asciiTheme="majorBidi" w:hAnsiTheme="majorBidi" w:cstheme="majorBidi"/>
          <w:b/>
          <w:bCs/>
          <w:sz w:val="24"/>
          <w:szCs w:val="24"/>
        </w:rPr>
        <w:t xml:space="preserve"> Jabarpour</w:t>
      </w:r>
      <w:r w:rsidRPr="00C240EE">
        <w:rPr>
          <w:rFonts w:asciiTheme="majorBidi" w:hAnsiTheme="majorBidi" w:cstheme="majorBidi"/>
          <w:b/>
          <w:bCs/>
          <w:sz w:val="24"/>
          <w:szCs w:val="24"/>
          <w:vertAlign w:val="superscript"/>
        </w:rPr>
        <w:t>1</w:t>
      </w:r>
      <w:r w:rsidRPr="00C240EE">
        <w:rPr>
          <w:rFonts w:asciiTheme="majorBidi" w:hAnsiTheme="majorBidi" w:cstheme="majorBidi"/>
          <w:sz w:val="24"/>
          <w:szCs w:val="24"/>
          <w:vertAlign w:val="superscript"/>
        </w:rPr>
        <w:t>†</w:t>
      </w:r>
      <w:r w:rsidRPr="00C240EE">
        <w:rPr>
          <w:rFonts w:asciiTheme="majorBidi" w:hAnsiTheme="majorBidi" w:cstheme="majorBidi"/>
          <w:b/>
          <w:bCs/>
          <w:sz w:val="24"/>
          <w:szCs w:val="24"/>
        </w:rPr>
        <w:t>,</w:t>
      </w:r>
      <w:r w:rsidRPr="00C240EE">
        <w:rPr>
          <w:rFonts w:asciiTheme="majorBidi" w:hAnsiTheme="majorBidi" w:cstheme="majorBidi"/>
          <w:b/>
          <w:bCs/>
          <w:color w:val="131413"/>
          <w:sz w:val="24"/>
          <w:szCs w:val="24"/>
        </w:rPr>
        <w:t xml:space="preserve"> </w:t>
      </w:r>
      <w:r w:rsidRPr="00C240EE">
        <w:rPr>
          <w:rFonts w:asciiTheme="majorBidi" w:hAnsiTheme="majorBidi" w:cstheme="majorBidi"/>
          <w:b/>
          <w:bCs/>
          <w:sz w:val="24"/>
          <w:szCs w:val="24"/>
        </w:rPr>
        <w:t>Sara Pouri</w:t>
      </w:r>
      <w:r w:rsidRPr="00C240EE">
        <w:rPr>
          <w:rFonts w:asciiTheme="majorBidi" w:hAnsiTheme="majorBidi" w:cstheme="majorBidi"/>
          <w:b/>
          <w:bCs/>
          <w:sz w:val="24"/>
          <w:szCs w:val="24"/>
          <w:vertAlign w:val="superscript"/>
        </w:rPr>
        <w:t>2</w:t>
      </w:r>
      <w:r w:rsidRPr="00C240EE">
        <w:rPr>
          <w:rFonts w:asciiTheme="majorBidi" w:hAnsiTheme="majorBidi" w:cstheme="majorBidi"/>
          <w:sz w:val="24"/>
          <w:szCs w:val="24"/>
          <w:vertAlign w:val="superscript"/>
        </w:rPr>
        <w:t>†</w:t>
      </w:r>
      <w:r w:rsidRPr="00C240EE">
        <w:rPr>
          <w:rFonts w:asciiTheme="majorBidi" w:hAnsiTheme="majorBidi" w:cstheme="majorBidi"/>
          <w:b/>
          <w:bCs/>
          <w:sz w:val="24"/>
          <w:szCs w:val="24"/>
        </w:rPr>
        <w:t xml:space="preserve">, </w:t>
      </w:r>
      <w:r w:rsidRPr="00C240EE">
        <w:rPr>
          <w:rFonts w:asciiTheme="majorBidi" w:hAnsiTheme="majorBidi" w:cstheme="majorBidi"/>
          <w:b/>
          <w:bCs/>
          <w:color w:val="131413"/>
          <w:sz w:val="24"/>
          <w:szCs w:val="24"/>
        </w:rPr>
        <w:t>Ashraf Aleyasin</w:t>
      </w:r>
      <w:r>
        <w:rPr>
          <w:rFonts w:asciiTheme="majorBidi" w:hAnsiTheme="majorBidi" w:cstheme="majorBidi"/>
          <w:b/>
          <w:bCs/>
          <w:color w:val="131413"/>
          <w:sz w:val="24"/>
          <w:szCs w:val="24"/>
          <w:vertAlign w:val="superscript"/>
        </w:rPr>
        <w:t>2,3</w:t>
      </w:r>
      <w:r w:rsidRPr="00C240EE">
        <w:rPr>
          <w:rFonts w:asciiTheme="majorBidi" w:hAnsiTheme="majorBidi" w:cstheme="majorBidi"/>
          <w:b/>
          <w:bCs/>
          <w:sz w:val="24"/>
          <w:szCs w:val="24"/>
        </w:rPr>
        <w:t>, Maryam Shabani Nashtaei</w:t>
      </w:r>
      <w:r w:rsidRPr="00C240EE">
        <w:rPr>
          <w:rFonts w:asciiTheme="majorBidi" w:hAnsiTheme="majorBidi" w:cstheme="majorBidi"/>
          <w:b/>
          <w:bCs/>
          <w:sz w:val="24"/>
          <w:szCs w:val="24"/>
          <w:vertAlign w:val="superscript"/>
        </w:rPr>
        <w:t>1,</w:t>
      </w:r>
      <w:r>
        <w:rPr>
          <w:rFonts w:asciiTheme="majorBidi" w:hAnsiTheme="majorBidi" w:cstheme="majorBidi"/>
          <w:b/>
          <w:bCs/>
          <w:sz w:val="24"/>
          <w:szCs w:val="24"/>
          <w:vertAlign w:val="superscript"/>
        </w:rPr>
        <w:t>3</w:t>
      </w:r>
      <w:r w:rsidRPr="00C240EE">
        <w:rPr>
          <w:rFonts w:asciiTheme="majorBidi" w:hAnsiTheme="majorBidi" w:cstheme="majorBidi"/>
          <w:b/>
          <w:bCs/>
          <w:sz w:val="24"/>
          <w:szCs w:val="24"/>
        </w:rPr>
        <w:t>, A</w:t>
      </w:r>
      <w:r>
        <w:rPr>
          <w:rFonts w:asciiTheme="majorBidi" w:hAnsiTheme="majorBidi" w:cstheme="majorBidi"/>
          <w:b/>
          <w:bCs/>
          <w:sz w:val="24"/>
          <w:szCs w:val="24"/>
        </w:rPr>
        <w:t>i</w:t>
      </w:r>
      <w:r w:rsidRPr="00C240EE">
        <w:rPr>
          <w:rFonts w:asciiTheme="majorBidi" w:hAnsiTheme="majorBidi" w:cstheme="majorBidi"/>
          <w:b/>
          <w:bCs/>
          <w:sz w:val="24"/>
          <w:szCs w:val="24"/>
        </w:rPr>
        <w:t>da Najafian</w:t>
      </w:r>
      <w:r>
        <w:rPr>
          <w:rFonts w:asciiTheme="majorBidi" w:hAnsiTheme="majorBidi" w:cstheme="majorBidi"/>
          <w:b/>
          <w:bCs/>
          <w:sz w:val="24"/>
          <w:szCs w:val="24"/>
          <w:vertAlign w:val="superscript"/>
        </w:rPr>
        <w:t>2,3</w:t>
      </w:r>
      <w:r w:rsidRPr="00C240EE">
        <w:rPr>
          <w:rFonts w:asciiTheme="majorBidi" w:eastAsia="Times New Roman" w:hAnsiTheme="majorBidi" w:cstheme="majorBidi"/>
          <w:sz w:val="24"/>
          <w:szCs w:val="24"/>
        </w:rPr>
        <w:t>*</w:t>
      </w:r>
    </w:p>
    <w:p w14:paraId="081A81BD" w14:textId="77777777" w:rsidR="00233D4E" w:rsidRPr="00C240EE" w:rsidRDefault="00233D4E" w:rsidP="00233D4E">
      <w:pPr>
        <w:bidi w:val="0"/>
        <w:spacing w:line="360" w:lineRule="auto"/>
        <w:jc w:val="both"/>
        <w:rPr>
          <w:rFonts w:asciiTheme="majorBidi" w:hAnsiTheme="majorBidi" w:cstheme="majorBidi"/>
          <w:sz w:val="24"/>
          <w:szCs w:val="24"/>
        </w:rPr>
      </w:pPr>
      <w:r w:rsidRPr="00C240EE">
        <w:rPr>
          <w:rFonts w:asciiTheme="majorBidi" w:hAnsiTheme="majorBidi" w:cstheme="majorBidi"/>
          <w:sz w:val="24"/>
          <w:szCs w:val="24"/>
        </w:rPr>
        <w:t>Authors' Affiliations:</w:t>
      </w:r>
    </w:p>
    <w:p w14:paraId="7BEFECE0" w14:textId="77777777" w:rsidR="00233D4E" w:rsidRPr="00E974CD" w:rsidRDefault="00233D4E" w:rsidP="00233D4E">
      <w:pPr>
        <w:pStyle w:val="ListParagraph"/>
        <w:widowControl w:val="0"/>
        <w:numPr>
          <w:ilvl w:val="0"/>
          <w:numId w:val="1"/>
        </w:numPr>
        <w:adjustRightInd w:val="0"/>
        <w:jc w:val="both"/>
        <w:textAlignment w:val="baseline"/>
        <w:rPr>
          <w:rFonts w:asciiTheme="majorBidi" w:hAnsiTheme="majorBidi" w:cstheme="majorBidi"/>
          <w:sz w:val="24"/>
          <w:szCs w:val="24"/>
        </w:rPr>
      </w:pPr>
      <w:r w:rsidRPr="00E974CD">
        <w:rPr>
          <w:rFonts w:asciiTheme="majorBidi" w:hAnsiTheme="majorBidi" w:cstheme="majorBidi"/>
          <w:sz w:val="24"/>
          <w:szCs w:val="24"/>
        </w:rPr>
        <w:t>Department of Anatomy, School of Medicine, Tehran University of Medical Sciences, Tehran, Iran</w:t>
      </w:r>
    </w:p>
    <w:p w14:paraId="3E5F3693" w14:textId="77777777" w:rsidR="00233D4E" w:rsidRPr="0037515A" w:rsidRDefault="00233D4E" w:rsidP="00233D4E">
      <w:pPr>
        <w:pStyle w:val="ListParagraph"/>
        <w:widowControl w:val="0"/>
        <w:numPr>
          <w:ilvl w:val="0"/>
          <w:numId w:val="1"/>
        </w:numPr>
        <w:adjustRightInd w:val="0"/>
        <w:jc w:val="both"/>
        <w:textAlignment w:val="baseline"/>
        <w:rPr>
          <w:rFonts w:asciiTheme="majorBidi" w:hAnsiTheme="majorBidi" w:cstheme="majorBidi"/>
          <w:sz w:val="24"/>
          <w:szCs w:val="24"/>
        </w:rPr>
      </w:pPr>
      <w:r w:rsidRPr="0037515A">
        <w:rPr>
          <w:rFonts w:asciiTheme="majorBidi" w:hAnsiTheme="majorBidi" w:cstheme="majorBidi"/>
          <w:color w:val="212121"/>
          <w:sz w:val="24"/>
          <w:szCs w:val="24"/>
          <w:shd w:val="clear" w:color="auto" w:fill="FFFFFF"/>
        </w:rPr>
        <w:t>Department of Obstetrics and Gynecology, Shariati Hospital, Tehran University of Medical Sciences, Tehran, Iran</w:t>
      </w:r>
      <w:r w:rsidRPr="0037515A">
        <w:rPr>
          <w:rFonts w:asciiTheme="majorBidi" w:hAnsiTheme="majorBidi" w:cstheme="majorBidi"/>
          <w:sz w:val="24"/>
          <w:szCs w:val="24"/>
        </w:rPr>
        <w:t xml:space="preserve"> </w:t>
      </w:r>
    </w:p>
    <w:p w14:paraId="65BD8023" w14:textId="77777777" w:rsidR="00233D4E" w:rsidRPr="00E974CD" w:rsidRDefault="00233D4E" w:rsidP="00233D4E">
      <w:pPr>
        <w:pStyle w:val="ListParagraph"/>
        <w:widowControl w:val="0"/>
        <w:numPr>
          <w:ilvl w:val="0"/>
          <w:numId w:val="1"/>
        </w:numPr>
        <w:adjustRightInd w:val="0"/>
        <w:jc w:val="both"/>
        <w:textAlignment w:val="baseline"/>
        <w:rPr>
          <w:rFonts w:asciiTheme="majorBidi" w:hAnsiTheme="majorBidi" w:cstheme="majorBidi"/>
          <w:sz w:val="24"/>
          <w:szCs w:val="24"/>
        </w:rPr>
      </w:pPr>
      <w:r w:rsidRPr="00E974CD">
        <w:rPr>
          <w:rFonts w:asciiTheme="majorBidi" w:hAnsiTheme="majorBidi" w:cstheme="majorBidi"/>
          <w:sz w:val="24"/>
          <w:szCs w:val="24"/>
        </w:rPr>
        <w:t>Department of infertility, Shariati Hospital, Tehran University of Medical Sciences, Tehran, Iran</w:t>
      </w:r>
    </w:p>
    <w:p w14:paraId="31E9BDA5" w14:textId="77777777" w:rsidR="00233D4E" w:rsidRPr="00C240EE" w:rsidRDefault="00233D4E" w:rsidP="00233D4E">
      <w:pPr>
        <w:shd w:val="clear" w:color="auto" w:fill="FFFFFF"/>
        <w:bidi w:val="0"/>
        <w:spacing w:before="100" w:beforeAutospacing="1" w:after="120" w:line="360" w:lineRule="auto"/>
        <w:jc w:val="both"/>
        <w:rPr>
          <w:rFonts w:asciiTheme="majorBidi" w:eastAsia="Times New Roman" w:hAnsiTheme="majorBidi" w:cstheme="majorBidi"/>
          <w:color w:val="333333"/>
          <w:sz w:val="24"/>
          <w:szCs w:val="24"/>
        </w:rPr>
      </w:pPr>
    </w:p>
    <w:p w14:paraId="6F1D313D" w14:textId="77777777" w:rsidR="00233D4E" w:rsidRPr="00C240EE" w:rsidRDefault="00233D4E" w:rsidP="00233D4E">
      <w:pPr>
        <w:shd w:val="clear" w:color="auto" w:fill="FFFFFF"/>
        <w:bidi w:val="0"/>
        <w:spacing w:before="100" w:beforeAutospacing="1" w:after="120" w:line="360" w:lineRule="auto"/>
        <w:jc w:val="both"/>
        <w:rPr>
          <w:rFonts w:asciiTheme="majorBidi" w:eastAsia="Times New Roman" w:hAnsiTheme="majorBidi" w:cstheme="majorBidi"/>
          <w:color w:val="333333"/>
          <w:sz w:val="24"/>
          <w:szCs w:val="24"/>
        </w:rPr>
      </w:pPr>
      <w:r w:rsidRPr="00C240EE">
        <w:rPr>
          <w:rFonts w:asciiTheme="majorBidi" w:hAnsiTheme="majorBidi" w:cstheme="majorBidi"/>
          <w:sz w:val="24"/>
          <w:szCs w:val="24"/>
        </w:rPr>
        <w:t>†</w:t>
      </w:r>
      <w:r w:rsidRPr="00C240EE">
        <w:rPr>
          <w:rFonts w:asciiTheme="majorBidi" w:eastAsia="Times New Roman" w:hAnsiTheme="majorBidi" w:cstheme="majorBidi"/>
          <w:color w:val="333333"/>
          <w:sz w:val="24"/>
          <w:szCs w:val="24"/>
        </w:rPr>
        <w:t xml:space="preserve"> </w:t>
      </w:r>
      <w:proofErr w:type="spellStart"/>
      <w:r w:rsidRPr="00C240EE">
        <w:rPr>
          <w:rFonts w:asciiTheme="majorBidi" w:eastAsia="Times New Roman" w:hAnsiTheme="majorBidi" w:cstheme="majorBidi"/>
          <w:color w:val="333333"/>
          <w:sz w:val="24"/>
          <w:szCs w:val="24"/>
        </w:rPr>
        <w:t>Masoome</w:t>
      </w:r>
      <w:proofErr w:type="spellEnd"/>
      <w:r w:rsidRPr="00C240EE">
        <w:rPr>
          <w:rFonts w:asciiTheme="majorBidi" w:eastAsia="Times New Roman" w:hAnsiTheme="majorBidi" w:cstheme="majorBidi"/>
          <w:color w:val="333333"/>
          <w:sz w:val="24"/>
          <w:szCs w:val="24"/>
        </w:rPr>
        <w:t xml:space="preserve"> </w:t>
      </w:r>
      <w:proofErr w:type="spellStart"/>
      <w:r w:rsidRPr="00C240EE">
        <w:rPr>
          <w:rFonts w:asciiTheme="majorBidi" w:eastAsia="Times New Roman" w:hAnsiTheme="majorBidi" w:cstheme="majorBidi"/>
          <w:color w:val="333333"/>
          <w:sz w:val="24"/>
          <w:szCs w:val="24"/>
        </w:rPr>
        <w:t>Jabarpour</w:t>
      </w:r>
      <w:proofErr w:type="spellEnd"/>
      <w:r w:rsidRPr="00C240EE">
        <w:rPr>
          <w:rFonts w:asciiTheme="majorBidi" w:eastAsia="Times New Roman" w:hAnsiTheme="majorBidi" w:cstheme="majorBidi"/>
          <w:color w:val="333333"/>
          <w:sz w:val="24"/>
          <w:szCs w:val="24"/>
        </w:rPr>
        <w:t xml:space="preserve"> and Sara Pouri contributed equally to this work and share first authorship</w:t>
      </w:r>
    </w:p>
    <w:p w14:paraId="4DF6EA3E" w14:textId="77777777" w:rsidR="00233D4E" w:rsidRPr="00C240EE" w:rsidRDefault="00233D4E" w:rsidP="00233D4E">
      <w:pPr>
        <w:bidi w:val="0"/>
        <w:spacing w:line="360" w:lineRule="auto"/>
        <w:ind w:left="284"/>
        <w:jc w:val="both"/>
        <w:rPr>
          <w:rFonts w:asciiTheme="majorBidi" w:hAnsiTheme="majorBidi" w:cstheme="majorBidi"/>
          <w:sz w:val="24"/>
          <w:szCs w:val="24"/>
        </w:rPr>
      </w:pPr>
    </w:p>
    <w:p w14:paraId="14853ABF" w14:textId="77777777" w:rsidR="00233D4E" w:rsidRPr="00E974CD" w:rsidRDefault="00233D4E" w:rsidP="00233D4E">
      <w:pPr>
        <w:bidi w:val="0"/>
        <w:ind w:left="284"/>
        <w:jc w:val="both"/>
        <w:rPr>
          <w:rFonts w:asciiTheme="majorBidi" w:hAnsiTheme="majorBidi" w:cstheme="majorBidi"/>
          <w:sz w:val="24"/>
          <w:szCs w:val="24"/>
        </w:rPr>
      </w:pPr>
      <w:r w:rsidRPr="00E974CD">
        <w:rPr>
          <w:rFonts w:asciiTheme="majorBidi" w:hAnsiTheme="majorBidi" w:cstheme="majorBidi"/>
          <w:sz w:val="24"/>
          <w:szCs w:val="24"/>
        </w:rPr>
        <w:t xml:space="preserve">* Correspondence: Ayda </w:t>
      </w:r>
      <w:proofErr w:type="spellStart"/>
      <w:r w:rsidRPr="00E974CD">
        <w:rPr>
          <w:rFonts w:asciiTheme="majorBidi" w:hAnsiTheme="majorBidi" w:cstheme="majorBidi"/>
          <w:sz w:val="24"/>
          <w:szCs w:val="24"/>
        </w:rPr>
        <w:t>Najafian</w:t>
      </w:r>
      <w:proofErr w:type="spellEnd"/>
      <w:r w:rsidRPr="00E974CD">
        <w:rPr>
          <w:rFonts w:asciiTheme="majorBidi" w:hAnsiTheme="majorBidi" w:cstheme="majorBidi"/>
          <w:sz w:val="24"/>
          <w:szCs w:val="24"/>
        </w:rPr>
        <w:t>, Assistant Professor of Obstetrics and Gynecology</w:t>
      </w:r>
    </w:p>
    <w:p w14:paraId="562B6C48" w14:textId="77777777" w:rsidR="00233D4E" w:rsidRPr="00E974CD" w:rsidRDefault="00233D4E" w:rsidP="00233D4E">
      <w:pPr>
        <w:bidi w:val="0"/>
        <w:ind w:left="284"/>
        <w:jc w:val="both"/>
        <w:rPr>
          <w:rFonts w:asciiTheme="majorBidi" w:hAnsiTheme="majorBidi" w:cstheme="majorBidi"/>
          <w:sz w:val="24"/>
          <w:szCs w:val="24"/>
        </w:rPr>
      </w:pPr>
      <w:r w:rsidRPr="00E974CD">
        <w:rPr>
          <w:rFonts w:asciiTheme="majorBidi" w:hAnsiTheme="majorBidi" w:cstheme="majorBidi"/>
          <w:sz w:val="24"/>
          <w:szCs w:val="24"/>
        </w:rPr>
        <w:t xml:space="preserve">Address: </w:t>
      </w:r>
      <w:r w:rsidRPr="00E974CD">
        <w:rPr>
          <w:rFonts w:asciiTheme="majorBidi" w:hAnsiTheme="majorBidi" w:cstheme="majorBidi"/>
          <w:sz w:val="24"/>
          <w:szCs w:val="24"/>
        </w:rPr>
        <w:br/>
      </w:r>
      <w:r w:rsidRPr="00E974CD">
        <w:rPr>
          <w:rFonts w:asciiTheme="majorBidi" w:hAnsiTheme="majorBidi" w:cstheme="majorBidi"/>
          <w:color w:val="212121"/>
          <w:sz w:val="24"/>
          <w:szCs w:val="24"/>
          <w:shd w:val="clear" w:color="auto" w:fill="FFFFFF"/>
        </w:rPr>
        <w:t>Department of Obstetrics and Gynecology, Shariati Hospital, Tehran University of Medical Sciences, 1411713135, Shariati Hospital, Jalal-e-Al-e-Ahmad Hwy, Tehran, Iran.</w:t>
      </w:r>
      <w:r w:rsidRPr="00E974CD">
        <w:rPr>
          <w:rFonts w:asciiTheme="majorBidi" w:hAnsiTheme="majorBidi" w:cstheme="majorBidi"/>
          <w:sz w:val="24"/>
          <w:szCs w:val="24"/>
        </w:rPr>
        <w:t xml:space="preserve"> </w:t>
      </w:r>
    </w:p>
    <w:p w14:paraId="5AE5D727" w14:textId="77777777" w:rsidR="00233D4E" w:rsidRPr="00C240EE" w:rsidRDefault="00233D4E" w:rsidP="00233D4E">
      <w:pPr>
        <w:bidi w:val="0"/>
        <w:spacing w:line="360" w:lineRule="auto"/>
        <w:jc w:val="both"/>
        <w:rPr>
          <w:rFonts w:asciiTheme="majorBidi" w:eastAsia="Times New Roman" w:hAnsiTheme="majorBidi" w:cstheme="majorBidi"/>
          <w:sz w:val="24"/>
          <w:szCs w:val="24"/>
        </w:rPr>
      </w:pPr>
      <w:r w:rsidRPr="00C240EE">
        <w:rPr>
          <w:rFonts w:asciiTheme="majorBidi" w:eastAsia="Times New Roman" w:hAnsiTheme="majorBidi" w:cstheme="majorBidi"/>
          <w:sz w:val="24"/>
          <w:szCs w:val="24"/>
        </w:rPr>
        <w:t>Telephone number: +989133090692</w:t>
      </w:r>
    </w:p>
    <w:p w14:paraId="3E7BDA92" w14:textId="77777777" w:rsidR="00233D4E" w:rsidRPr="00C240EE" w:rsidRDefault="00233D4E" w:rsidP="00233D4E">
      <w:pPr>
        <w:bidi w:val="0"/>
        <w:spacing w:line="360" w:lineRule="auto"/>
        <w:jc w:val="both"/>
        <w:rPr>
          <w:rFonts w:asciiTheme="majorBidi" w:eastAsia="Times New Roman" w:hAnsiTheme="majorBidi" w:cstheme="majorBidi"/>
          <w:sz w:val="24"/>
          <w:szCs w:val="24"/>
        </w:rPr>
      </w:pPr>
      <w:r w:rsidRPr="00C240EE">
        <w:rPr>
          <w:rFonts w:asciiTheme="majorBidi" w:eastAsia="Times New Roman" w:hAnsiTheme="majorBidi" w:cstheme="majorBidi"/>
          <w:sz w:val="24"/>
          <w:szCs w:val="24"/>
        </w:rPr>
        <w:t>E-mail address:</w:t>
      </w:r>
      <w:r w:rsidRPr="00C240EE">
        <w:rPr>
          <w:rFonts w:asciiTheme="majorBidi" w:hAnsiTheme="majorBidi" w:cstheme="majorBidi"/>
          <w:sz w:val="24"/>
          <w:szCs w:val="24"/>
        </w:rPr>
        <w:t xml:space="preserve"> </w:t>
      </w:r>
      <w:hyperlink r:id="rId5" w:history="1">
        <w:r w:rsidRPr="004F5F18">
          <w:rPr>
            <w:rStyle w:val="Hyperlink"/>
            <w:rFonts w:asciiTheme="majorBidi" w:hAnsiTheme="majorBidi" w:cstheme="majorBidi"/>
            <w:sz w:val="24"/>
            <w:szCs w:val="24"/>
          </w:rPr>
          <w:t xml:space="preserve">aidanajafian@yahoo.com   </w:t>
        </w:r>
      </w:hyperlink>
      <w:r>
        <w:rPr>
          <w:rFonts w:asciiTheme="majorBidi" w:hAnsiTheme="majorBidi" w:cstheme="majorBidi"/>
          <w:sz w:val="24"/>
          <w:szCs w:val="24"/>
        </w:rPr>
        <w:t xml:space="preserve"> </w:t>
      </w:r>
    </w:p>
    <w:p w14:paraId="307CDFFE" w14:textId="77777777" w:rsidR="00233D4E" w:rsidRPr="00C240EE" w:rsidRDefault="00233D4E" w:rsidP="00233D4E">
      <w:pPr>
        <w:bidi w:val="0"/>
        <w:spacing w:line="360" w:lineRule="auto"/>
        <w:jc w:val="both"/>
        <w:rPr>
          <w:rFonts w:asciiTheme="majorBidi" w:eastAsia="Times New Roman" w:hAnsiTheme="majorBidi" w:cstheme="majorBidi"/>
          <w:b/>
          <w:bCs/>
          <w:sz w:val="24"/>
          <w:szCs w:val="24"/>
        </w:rPr>
      </w:pPr>
      <w:r w:rsidRPr="00C240EE">
        <w:rPr>
          <w:rFonts w:asciiTheme="majorBidi" w:eastAsia="Times New Roman" w:hAnsiTheme="majorBidi" w:cstheme="majorBidi"/>
          <w:sz w:val="24"/>
          <w:szCs w:val="24"/>
        </w:rPr>
        <w:t xml:space="preserve">ORCID ID: </w:t>
      </w:r>
      <w:r w:rsidRPr="00155CE0">
        <w:rPr>
          <w:rFonts w:asciiTheme="majorBidi" w:eastAsia="Times New Roman" w:hAnsiTheme="majorBidi" w:cstheme="majorBidi"/>
          <w:sz w:val="24"/>
          <w:szCs w:val="24"/>
        </w:rPr>
        <w:t>0000-0001-7728-5348</w:t>
      </w:r>
      <w:hyperlink r:id="rId6" w:history="1"/>
      <w:r w:rsidRPr="00C240EE">
        <w:rPr>
          <w:rFonts w:asciiTheme="majorBidi" w:hAnsiTheme="majorBidi" w:cstheme="majorBidi"/>
          <w:sz w:val="24"/>
          <w:szCs w:val="24"/>
        </w:rPr>
        <w:t xml:space="preserve"> </w:t>
      </w:r>
    </w:p>
    <w:p w14:paraId="41A9DBA8" w14:textId="77777777" w:rsidR="00233D4E" w:rsidRPr="00C240EE" w:rsidRDefault="00233D4E" w:rsidP="00233D4E">
      <w:pPr>
        <w:bidi w:val="0"/>
        <w:spacing w:line="360" w:lineRule="auto"/>
        <w:jc w:val="both"/>
        <w:rPr>
          <w:rFonts w:asciiTheme="majorBidi" w:eastAsia="Times New Roman" w:hAnsiTheme="majorBidi" w:cstheme="majorBidi"/>
          <w:b/>
          <w:bCs/>
          <w:sz w:val="24"/>
          <w:szCs w:val="24"/>
        </w:rPr>
      </w:pPr>
    </w:p>
    <w:p w14:paraId="2C5C8157" w14:textId="77777777" w:rsidR="00233D4E" w:rsidRPr="00C240EE" w:rsidRDefault="00233D4E" w:rsidP="00233D4E">
      <w:pPr>
        <w:bidi w:val="0"/>
        <w:spacing w:line="360" w:lineRule="auto"/>
        <w:jc w:val="both"/>
        <w:rPr>
          <w:rFonts w:asciiTheme="majorBidi" w:eastAsia="Times New Roman" w:hAnsiTheme="majorBidi" w:cstheme="majorBidi"/>
          <w:b/>
          <w:bCs/>
          <w:sz w:val="24"/>
          <w:szCs w:val="24"/>
        </w:rPr>
      </w:pPr>
      <w:r w:rsidRPr="00C240EE">
        <w:rPr>
          <w:rFonts w:asciiTheme="majorBidi" w:eastAsia="Times New Roman" w:hAnsiTheme="majorBidi" w:cstheme="majorBidi"/>
          <w:b/>
          <w:bCs/>
          <w:sz w:val="24"/>
          <w:szCs w:val="24"/>
        </w:rPr>
        <w:t>Abstract</w:t>
      </w:r>
    </w:p>
    <w:p w14:paraId="73DAC11E" w14:textId="77777777" w:rsidR="00233D4E" w:rsidRPr="00C240EE" w:rsidRDefault="00233D4E" w:rsidP="00233D4E">
      <w:pPr>
        <w:autoSpaceDE w:val="0"/>
        <w:autoSpaceDN w:val="0"/>
        <w:bidi w:val="0"/>
        <w:adjustRightInd w:val="0"/>
        <w:spacing w:after="0" w:line="360" w:lineRule="auto"/>
        <w:jc w:val="both"/>
        <w:rPr>
          <w:rFonts w:asciiTheme="majorBidi" w:hAnsiTheme="majorBidi" w:cstheme="majorBidi"/>
          <w:sz w:val="24"/>
          <w:szCs w:val="24"/>
        </w:rPr>
      </w:pPr>
      <w:r w:rsidRPr="00C240EE">
        <w:rPr>
          <w:rFonts w:asciiTheme="majorBidi" w:hAnsiTheme="majorBidi" w:cstheme="majorBidi"/>
          <w:b/>
          <w:bCs/>
          <w:sz w:val="24"/>
          <w:szCs w:val="24"/>
        </w:rPr>
        <w:t>Introduction</w:t>
      </w:r>
      <w:r w:rsidRPr="00C240EE">
        <w:rPr>
          <w:rFonts w:asciiTheme="majorBidi" w:hAnsiTheme="majorBidi" w:cstheme="majorBidi"/>
          <w:sz w:val="24"/>
          <w:szCs w:val="24"/>
        </w:rPr>
        <w:t>: Progesterone can be used instead of GnRH agonists and antagonists in order to avert a premature LH surge during</w:t>
      </w:r>
      <w:r w:rsidRPr="000E3BCF">
        <w:rPr>
          <w:rFonts w:asciiTheme="majorBidi" w:hAnsiTheme="majorBidi" w:cstheme="majorBidi"/>
          <w:sz w:val="24"/>
          <w:szCs w:val="24"/>
        </w:rPr>
        <w:t xml:space="preserve"> </w:t>
      </w:r>
      <w:r w:rsidRPr="000E3BCF">
        <w:rPr>
          <w:rFonts w:asciiTheme="majorBidi" w:hAnsiTheme="majorBidi" w:cstheme="majorBidi"/>
          <w:color w:val="000000"/>
          <w:sz w:val="24"/>
          <w:szCs w:val="24"/>
        </w:rPr>
        <w:t>controlled ovarian stimulation (COS) protocol</w:t>
      </w:r>
      <w:r w:rsidRPr="000E3BCF">
        <w:rPr>
          <w:rFonts w:asciiTheme="majorBidi" w:hAnsiTheme="majorBidi" w:cstheme="majorBidi"/>
          <w:sz w:val="24"/>
          <w:szCs w:val="24"/>
        </w:rPr>
        <w:t xml:space="preserve">. Nonetheless, there is limited knowledge regarding its utilization. Thus, this study compared the effects of progesterone and GnRH antagonists (GnRH-ant) on premature LH surges and </w:t>
      </w:r>
      <w:r w:rsidRPr="000E3BCF">
        <w:rPr>
          <w:rFonts w:asciiTheme="majorBidi" w:hAnsiTheme="majorBidi" w:cstheme="majorBidi"/>
        </w:rPr>
        <w:t xml:space="preserve">assisted reproductive technology </w:t>
      </w:r>
      <w:r w:rsidRPr="000E3BCF">
        <w:rPr>
          <w:rFonts w:asciiTheme="majorBidi" w:hAnsiTheme="majorBidi" w:cstheme="majorBidi"/>
          <w:sz w:val="24"/>
          <w:szCs w:val="24"/>
        </w:rPr>
        <w:t>(ART</w:t>
      </w:r>
      <w:r>
        <w:rPr>
          <w:rFonts w:asciiTheme="majorBidi" w:hAnsiTheme="majorBidi" w:cstheme="majorBidi"/>
          <w:sz w:val="24"/>
          <w:szCs w:val="24"/>
        </w:rPr>
        <w:t>)</w:t>
      </w:r>
      <w:r w:rsidRPr="00C240EE">
        <w:rPr>
          <w:rFonts w:asciiTheme="majorBidi" w:hAnsiTheme="majorBidi" w:cstheme="majorBidi"/>
          <w:sz w:val="24"/>
          <w:szCs w:val="24"/>
        </w:rPr>
        <w:t xml:space="preserve"> results</w:t>
      </w:r>
      <w:r>
        <w:rPr>
          <w:rFonts w:asciiTheme="majorBidi" w:hAnsiTheme="majorBidi" w:cstheme="majorBidi"/>
          <w:sz w:val="24"/>
          <w:szCs w:val="24"/>
        </w:rPr>
        <w:t xml:space="preserve"> in </w:t>
      </w:r>
      <w:r w:rsidRPr="000E3BCF">
        <w:rPr>
          <w:rFonts w:asciiTheme="majorBidi" w:hAnsiTheme="majorBidi" w:cstheme="majorBidi"/>
        </w:rPr>
        <w:t xml:space="preserve">infertile women undergoing </w:t>
      </w:r>
      <w:r>
        <w:rPr>
          <w:rFonts w:asciiTheme="majorBidi" w:hAnsiTheme="majorBidi" w:cstheme="majorBidi"/>
        </w:rPr>
        <w:t>ART</w:t>
      </w:r>
      <w:r w:rsidRPr="000E3BCF">
        <w:rPr>
          <w:rFonts w:asciiTheme="majorBidi" w:hAnsiTheme="majorBidi" w:cstheme="majorBidi"/>
          <w:sz w:val="24"/>
          <w:szCs w:val="24"/>
        </w:rPr>
        <w:t>.</w:t>
      </w:r>
    </w:p>
    <w:p w14:paraId="2A2F85EC" w14:textId="77777777" w:rsidR="00233D4E" w:rsidRPr="00C240EE" w:rsidRDefault="00233D4E" w:rsidP="00233D4E">
      <w:pPr>
        <w:autoSpaceDE w:val="0"/>
        <w:autoSpaceDN w:val="0"/>
        <w:bidi w:val="0"/>
        <w:adjustRightInd w:val="0"/>
        <w:spacing w:after="0" w:line="360" w:lineRule="auto"/>
        <w:jc w:val="both"/>
        <w:rPr>
          <w:rFonts w:asciiTheme="majorBidi" w:hAnsiTheme="majorBidi" w:cstheme="majorBidi"/>
          <w:sz w:val="24"/>
          <w:szCs w:val="24"/>
        </w:rPr>
      </w:pPr>
      <w:r w:rsidRPr="00C240EE">
        <w:rPr>
          <w:rFonts w:asciiTheme="majorBidi" w:hAnsiTheme="majorBidi" w:cstheme="majorBidi"/>
          <w:b/>
          <w:bCs/>
          <w:sz w:val="24"/>
          <w:szCs w:val="24"/>
        </w:rPr>
        <w:lastRenderedPageBreak/>
        <w:t xml:space="preserve">Materials and Methods: </w:t>
      </w:r>
      <w:r w:rsidRPr="00C240EE">
        <w:rPr>
          <w:rFonts w:asciiTheme="majorBidi" w:hAnsiTheme="majorBidi" w:cstheme="majorBidi"/>
          <w:sz w:val="24"/>
          <w:szCs w:val="24"/>
        </w:rPr>
        <w:t xml:space="preserve">In this clinical trial, the progesterone protocol (study group) and GnRH-ant protocol (control group) were tested in 300 infertile individuals undergoing IVF/ICSI. </w:t>
      </w:r>
      <w:r w:rsidRPr="003F61C5">
        <w:rPr>
          <w:rFonts w:ascii="Times New Roman" w:hAnsi="Times New Roman" w:cs="Times New Roman"/>
          <w:sz w:val="24"/>
          <w:szCs w:val="24"/>
        </w:rPr>
        <w:t>The main outcome was the number of oocytes retrieved.</w:t>
      </w:r>
      <w:r>
        <w:rPr>
          <w:rFonts w:asciiTheme="majorBidi" w:hAnsiTheme="majorBidi" w:cstheme="majorBidi"/>
          <w:sz w:val="24"/>
          <w:szCs w:val="24"/>
        </w:rPr>
        <w:t xml:space="preserve"> </w:t>
      </w:r>
      <w:r>
        <w:rPr>
          <w:rFonts w:ascii="Times New Roman" w:hAnsi="Times New Roman" w:cs="Times New Roman"/>
          <w:sz w:val="24"/>
          <w:szCs w:val="24"/>
        </w:rPr>
        <w:t>The s</w:t>
      </w:r>
      <w:r w:rsidRPr="003F61C5">
        <w:rPr>
          <w:rFonts w:ascii="Times New Roman" w:hAnsi="Times New Roman" w:cs="Times New Roman"/>
          <w:sz w:val="24"/>
          <w:szCs w:val="24"/>
        </w:rPr>
        <w:t>econdary outcomes</w:t>
      </w:r>
      <w:r>
        <w:rPr>
          <w:rFonts w:ascii="Times New Roman" w:hAnsi="Times New Roman" w:cs="Times New Roman"/>
          <w:sz w:val="24"/>
          <w:szCs w:val="24"/>
        </w:rPr>
        <w:t xml:space="preserve"> </w:t>
      </w:r>
      <w:r w:rsidRPr="00C240EE">
        <w:rPr>
          <w:rFonts w:asciiTheme="majorBidi" w:hAnsiTheme="majorBidi" w:cstheme="majorBidi"/>
          <w:sz w:val="24"/>
          <w:szCs w:val="24"/>
        </w:rPr>
        <w:t>included premature LH rise/surge, the quantity of follicles measuring ≥10 and 14 mm</w:t>
      </w:r>
      <w:r>
        <w:rPr>
          <w:rFonts w:asciiTheme="majorBidi" w:hAnsiTheme="majorBidi" w:cstheme="majorBidi"/>
          <w:sz w:val="24"/>
          <w:szCs w:val="24"/>
        </w:rPr>
        <w:t>,</w:t>
      </w:r>
      <w:r w:rsidRPr="00C240EE">
        <w:rPr>
          <w:rFonts w:asciiTheme="majorBidi" w:hAnsiTheme="majorBidi" w:cstheme="majorBidi"/>
          <w:sz w:val="24"/>
          <w:szCs w:val="24"/>
        </w:rPr>
        <w:t xml:space="preserve"> oocyte maturity and fertilization rate, the number of viable embryos, high quality embryo rate and pregnancy outcomes.</w:t>
      </w:r>
    </w:p>
    <w:p w14:paraId="7C318978" w14:textId="77777777" w:rsidR="00233D4E" w:rsidRPr="00C240EE" w:rsidRDefault="00233D4E" w:rsidP="00233D4E">
      <w:pPr>
        <w:pStyle w:val="Default"/>
        <w:spacing w:line="360" w:lineRule="auto"/>
        <w:jc w:val="both"/>
        <w:rPr>
          <w:rFonts w:asciiTheme="majorBidi" w:hAnsiTheme="majorBidi" w:cstheme="majorBidi"/>
        </w:rPr>
      </w:pPr>
      <w:r w:rsidRPr="00C240EE">
        <w:rPr>
          <w:rFonts w:asciiTheme="majorBidi" w:hAnsiTheme="majorBidi" w:cstheme="majorBidi"/>
          <w:b/>
          <w:bCs/>
        </w:rPr>
        <w:t>Results</w:t>
      </w:r>
      <w:r w:rsidRPr="00C240EE">
        <w:rPr>
          <w:rFonts w:asciiTheme="majorBidi" w:hAnsiTheme="majorBidi" w:cstheme="majorBidi"/>
        </w:rPr>
        <w:t xml:space="preserve">: </w:t>
      </w:r>
    </w:p>
    <w:p w14:paraId="1373BF86" w14:textId="77777777" w:rsidR="00233D4E" w:rsidRPr="00C240EE" w:rsidRDefault="00233D4E" w:rsidP="00233D4E">
      <w:pPr>
        <w:autoSpaceDE w:val="0"/>
        <w:autoSpaceDN w:val="0"/>
        <w:bidi w:val="0"/>
        <w:adjustRightInd w:val="0"/>
        <w:spacing w:after="0" w:line="360" w:lineRule="auto"/>
        <w:jc w:val="both"/>
        <w:rPr>
          <w:rFonts w:asciiTheme="majorBidi" w:hAnsiTheme="majorBidi" w:cstheme="majorBidi"/>
          <w:b/>
          <w:bCs/>
          <w:sz w:val="24"/>
          <w:szCs w:val="24"/>
        </w:rPr>
      </w:pPr>
      <w:r w:rsidRPr="00C240EE">
        <w:rPr>
          <w:rFonts w:asciiTheme="majorBidi" w:hAnsiTheme="majorBidi" w:cstheme="majorBidi"/>
          <w:sz w:val="24"/>
          <w:szCs w:val="24"/>
        </w:rPr>
        <w:t xml:space="preserve">The study group exhibited a statistically significant increase in the number of retrieved oocytes, follicles measuring 14 mm or greater, and viable embryos compared to the control group (P&lt;0.05). The study group also increased oocyte maturity, chemical pregnancy rate, and clinical pregnancy rate (P&lt;0.05). Both groups had similar mean serum LH, progesterone, and E2 levels on trigger day. The control group had more premature LH rise than the study group, although this difference was not statistically significant.  </w:t>
      </w:r>
    </w:p>
    <w:p w14:paraId="5A874621" w14:textId="77777777" w:rsidR="00233D4E" w:rsidRPr="00C240EE" w:rsidRDefault="00233D4E" w:rsidP="00233D4E">
      <w:pPr>
        <w:autoSpaceDE w:val="0"/>
        <w:autoSpaceDN w:val="0"/>
        <w:bidi w:val="0"/>
        <w:adjustRightInd w:val="0"/>
        <w:spacing w:after="0" w:line="360" w:lineRule="auto"/>
        <w:jc w:val="both"/>
        <w:rPr>
          <w:rFonts w:asciiTheme="majorBidi" w:hAnsiTheme="majorBidi" w:cstheme="majorBidi"/>
          <w:sz w:val="24"/>
          <w:szCs w:val="24"/>
        </w:rPr>
      </w:pPr>
      <w:r w:rsidRPr="00C240EE">
        <w:rPr>
          <w:rFonts w:asciiTheme="majorBidi" w:hAnsiTheme="majorBidi" w:cstheme="majorBidi"/>
          <w:b/>
          <w:bCs/>
          <w:sz w:val="24"/>
          <w:szCs w:val="24"/>
        </w:rPr>
        <w:t>Conclusion</w:t>
      </w:r>
      <w:r w:rsidRPr="00C240EE">
        <w:rPr>
          <w:rFonts w:asciiTheme="majorBidi" w:hAnsiTheme="majorBidi" w:cstheme="majorBidi"/>
          <w:sz w:val="24"/>
          <w:szCs w:val="24"/>
        </w:rPr>
        <w:t xml:space="preserve">: In conclusion, it can be stated that the progesterone protocol and the GnRH-ant protocol exhibit similar rates of sudden premature LH surge in infertile patients. However, it is important to note that the two regimens differ in their outcomes in </w:t>
      </w:r>
      <w:r>
        <w:rPr>
          <w:rFonts w:asciiTheme="majorBidi" w:hAnsiTheme="majorBidi" w:cstheme="majorBidi"/>
          <w:sz w:val="24"/>
          <w:szCs w:val="24"/>
        </w:rPr>
        <w:t>ART.</w:t>
      </w:r>
    </w:p>
    <w:p w14:paraId="129A40A6" w14:textId="77777777" w:rsidR="00233D4E" w:rsidRPr="00C240EE" w:rsidRDefault="00233D4E" w:rsidP="00233D4E">
      <w:pPr>
        <w:autoSpaceDE w:val="0"/>
        <w:autoSpaceDN w:val="0"/>
        <w:bidi w:val="0"/>
        <w:adjustRightInd w:val="0"/>
        <w:spacing w:after="0" w:line="360" w:lineRule="auto"/>
        <w:jc w:val="both"/>
        <w:rPr>
          <w:rFonts w:asciiTheme="majorBidi" w:hAnsiTheme="majorBidi" w:cstheme="majorBidi"/>
          <w:sz w:val="24"/>
          <w:szCs w:val="24"/>
        </w:rPr>
      </w:pPr>
    </w:p>
    <w:p w14:paraId="42AEDFEB" w14:textId="77777777" w:rsidR="00233D4E" w:rsidRPr="00C240EE" w:rsidRDefault="00233D4E" w:rsidP="00233D4E">
      <w:pPr>
        <w:autoSpaceDE w:val="0"/>
        <w:autoSpaceDN w:val="0"/>
        <w:bidi w:val="0"/>
        <w:adjustRightInd w:val="0"/>
        <w:spacing w:after="0" w:line="360" w:lineRule="auto"/>
        <w:jc w:val="both"/>
        <w:rPr>
          <w:rFonts w:asciiTheme="majorBidi" w:hAnsiTheme="majorBidi" w:cstheme="majorBidi"/>
          <w:color w:val="131413"/>
          <w:sz w:val="24"/>
          <w:szCs w:val="24"/>
        </w:rPr>
      </w:pPr>
      <w:r w:rsidRPr="00C240EE">
        <w:rPr>
          <w:rFonts w:asciiTheme="majorBidi" w:hAnsiTheme="majorBidi" w:cstheme="majorBidi"/>
          <w:b/>
          <w:bCs/>
          <w:color w:val="131413"/>
          <w:sz w:val="24"/>
          <w:szCs w:val="24"/>
        </w:rPr>
        <w:t>Trial registration:</w:t>
      </w:r>
      <w:r w:rsidRPr="00C240EE">
        <w:rPr>
          <w:rFonts w:asciiTheme="majorBidi" w:hAnsiTheme="majorBidi" w:cstheme="majorBidi"/>
          <w:color w:val="131413"/>
          <w:sz w:val="24"/>
          <w:szCs w:val="24"/>
        </w:rPr>
        <w:t xml:space="preserve"> This study was retrospectively registered in the Iranian website (</w:t>
      </w:r>
      <w:r w:rsidRPr="00C240EE">
        <w:rPr>
          <w:rFonts w:asciiTheme="majorBidi" w:hAnsiTheme="majorBidi" w:cstheme="majorBidi"/>
          <w:color w:val="0000FF"/>
          <w:sz w:val="24"/>
          <w:szCs w:val="24"/>
        </w:rPr>
        <w:t>www.irct.ir</w:t>
      </w:r>
      <w:r w:rsidRPr="00C240EE">
        <w:rPr>
          <w:rFonts w:asciiTheme="majorBidi" w:hAnsiTheme="majorBidi" w:cstheme="majorBidi"/>
          <w:color w:val="131413"/>
          <w:sz w:val="24"/>
          <w:szCs w:val="24"/>
        </w:rPr>
        <w:t>) for clinical trials registration (</w:t>
      </w:r>
      <w:r w:rsidRPr="00C240EE">
        <w:rPr>
          <w:rFonts w:asciiTheme="majorBidi" w:hAnsiTheme="majorBidi" w:cstheme="majorBidi"/>
          <w:color w:val="0000FF"/>
          <w:sz w:val="24"/>
          <w:szCs w:val="24"/>
        </w:rPr>
        <w:t>http://www.irct.ir</w:t>
      </w:r>
      <w:r w:rsidRPr="00C240EE">
        <w:rPr>
          <w:rFonts w:asciiTheme="majorBidi" w:hAnsiTheme="majorBidi" w:cstheme="majorBidi"/>
          <w:color w:val="131413"/>
          <w:sz w:val="24"/>
          <w:szCs w:val="24"/>
        </w:rPr>
        <w:t>: IRCT-ID: IRCT20201029049183N,</w:t>
      </w:r>
      <w:r w:rsidRPr="00C240EE">
        <w:rPr>
          <w:rFonts w:asciiTheme="majorBidi" w:hAnsiTheme="majorBidi" w:cstheme="majorBidi"/>
          <w:sz w:val="24"/>
          <w:szCs w:val="24"/>
        </w:rPr>
        <w:t xml:space="preserve"> 2020-11-27</w:t>
      </w:r>
      <w:r w:rsidRPr="00C240EE">
        <w:rPr>
          <w:rFonts w:asciiTheme="majorBidi" w:hAnsiTheme="majorBidi" w:cstheme="majorBidi"/>
          <w:color w:val="131413"/>
          <w:sz w:val="24"/>
          <w:szCs w:val="24"/>
        </w:rPr>
        <w:t>).</w:t>
      </w:r>
    </w:p>
    <w:p w14:paraId="49D11C61" w14:textId="77777777" w:rsidR="00233D4E" w:rsidRPr="00C240EE" w:rsidRDefault="00233D4E" w:rsidP="00233D4E">
      <w:pPr>
        <w:autoSpaceDE w:val="0"/>
        <w:autoSpaceDN w:val="0"/>
        <w:bidi w:val="0"/>
        <w:adjustRightInd w:val="0"/>
        <w:spacing w:after="0" w:line="360" w:lineRule="auto"/>
        <w:jc w:val="both"/>
        <w:rPr>
          <w:rFonts w:asciiTheme="majorBidi" w:hAnsiTheme="majorBidi" w:cstheme="majorBidi"/>
          <w:color w:val="131413"/>
          <w:sz w:val="24"/>
          <w:szCs w:val="24"/>
        </w:rPr>
      </w:pPr>
    </w:p>
    <w:p w14:paraId="763A7F31" w14:textId="77777777" w:rsidR="00233D4E" w:rsidRPr="00C240EE" w:rsidRDefault="00233D4E" w:rsidP="00233D4E">
      <w:pPr>
        <w:bidi w:val="0"/>
        <w:spacing w:line="360" w:lineRule="auto"/>
        <w:jc w:val="both"/>
        <w:rPr>
          <w:rFonts w:asciiTheme="majorBidi" w:hAnsiTheme="majorBidi" w:cstheme="majorBidi"/>
          <w:b/>
          <w:bCs/>
          <w:sz w:val="24"/>
          <w:szCs w:val="24"/>
        </w:rPr>
      </w:pPr>
      <w:r w:rsidRPr="00C240EE">
        <w:rPr>
          <w:rFonts w:asciiTheme="majorBidi" w:eastAsia="Times New Roman" w:hAnsiTheme="majorBidi" w:cstheme="majorBidi"/>
          <w:b/>
          <w:bCs/>
          <w:sz w:val="24"/>
          <w:szCs w:val="24"/>
        </w:rPr>
        <w:t xml:space="preserve">Keywords: </w:t>
      </w:r>
      <w:r w:rsidRPr="00C240EE">
        <w:rPr>
          <w:rFonts w:asciiTheme="majorBidi" w:eastAsia="Times New Roman" w:hAnsiTheme="majorBidi" w:cstheme="majorBidi"/>
          <w:sz w:val="24"/>
          <w:szCs w:val="24"/>
        </w:rPr>
        <w:t>P</w:t>
      </w:r>
      <w:r w:rsidRPr="00C240EE">
        <w:rPr>
          <w:rFonts w:asciiTheme="majorBidi" w:hAnsiTheme="majorBidi" w:cstheme="majorBidi"/>
          <w:sz w:val="24"/>
          <w:szCs w:val="24"/>
        </w:rPr>
        <w:t>rogesterone, GnRH antagonists, ART, LH surge</w:t>
      </w:r>
    </w:p>
    <w:p w14:paraId="14E26948" w14:textId="77777777" w:rsidR="00233D4E" w:rsidRDefault="00233D4E" w:rsidP="00233D4E">
      <w:pPr>
        <w:bidi w:val="0"/>
        <w:jc w:val="both"/>
        <w:rPr>
          <w:rFonts w:hint="cs"/>
        </w:rPr>
      </w:pPr>
    </w:p>
    <w:sectPr w:rsidR="00233D4E" w:rsidSect="00B727B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470F"/>
    <w:multiLevelType w:val="multilevel"/>
    <w:tmpl w:val="1D220A8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4E"/>
    <w:rsid w:val="00233D4E"/>
    <w:rsid w:val="00B32FC6"/>
    <w:rsid w:val="00B727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1ADD"/>
  <w15:chartTrackingRefBased/>
  <w15:docId w15:val="{54014904-C605-4089-8D47-AAAD9D16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D4E"/>
    <w:pPr>
      <w:bidi w:val="0"/>
      <w:ind w:left="720"/>
      <w:contextualSpacing/>
    </w:pPr>
    <w:rPr>
      <w:lang w:bidi="ar-SA"/>
    </w:rPr>
  </w:style>
  <w:style w:type="character" w:styleId="Hyperlink">
    <w:name w:val="Hyperlink"/>
    <w:basedOn w:val="DefaultParagraphFont"/>
    <w:uiPriority w:val="99"/>
    <w:unhideWhenUsed/>
    <w:rsid w:val="00233D4E"/>
    <w:rPr>
      <w:color w:val="0563C1" w:themeColor="hyperlink"/>
      <w:u w:val="single"/>
    </w:rPr>
  </w:style>
  <w:style w:type="paragraph" w:customStyle="1" w:styleId="Default">
    <w:name w:val="Default"/>
    <w:rsid w:val="00233D4E"/>
    <w:pPr>
      <w:autoSpaceDE w:val="0"/>
      <w:autoSpaceDN w:val="0"/>
      <w:adjustRightInd w:val="0"/>
      <w:spacing w:after="0" w:line="240" w:lineRule="auto"/>
    </w:pPr>
    <w:rPr>
      <w:rFonts w:ascii="Helvetica Neue LT Pro" w:hAnsi="Helvetica Neue LT Pro" w:cs="Helvetica Neue LT Pro"/>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1165-5232" TargetMode="External"/><Relationship Id="rId5" Type="http://schemas.openxmlformats.org/officeDocument/2006/relationships/hyperlink" Target="mailto:aidanajafian@yahoo.com%20%20%20n%20.%20.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Win10-20H1</dc:creator>
  <cp:keywords/>
  <dc:description/>
  <cp:lastModifiedBy>Win10-20H1</cp:lastModifiedBy>
  <cp:revision>2</cp:revision>
  <dcterms:created xsi:type="dcterms:W3CDTF">2024-02-19T14:36:00Z</dcterms:created>
  <dcterms:modified xsi:type="dcterms:W3CDTF">2024-02-19T14:43:00Z</dcterms:modified>
</cp:coreProperties>
</file>